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DD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DC25DD"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 w:rsidR="00DC25DD"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="00DC25DD" w:rsidRPr="0086107A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76033B">
        <w:rPr>
          <w:b/>
          <w:sz w:val="28"/>
          <w:szCs w:val="28"/>
        </w:rPr>
        <w:t>Основы кинологии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EA08CB" w:rsidRPr="00FC1006" w:rsidTr="00F803D9">
        <w:trPr>
          <w:trHeight w:val="373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Происхождение собак. Классификация FCI</w:t>
            </w:r>
          </w:p>
        </w:tc>
        <w:tc>
          <w:tcPr>
            <w:tcW w:w="6379" w:type="dxa"/>
            <w:vMerge w:val="restart"/>
          </w:tcPr>
          <w:p w:rsidR="00EA08CB" w:rsidRPr="002753D7" w:rsidRDefault="00EA08CB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EA08CB" w:rsidRPr="00FC1006" w:rsidRDefault="00EA08CB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</w:t>
            </w:r>
            <w:proofErr w:type="spellEnd"/>
            <w:r>
              <w:t xml:space="preserve"> </w:t>
            </w:r>
            <w:r w:rsidRPr="00B544B7">
              <w:rPr>
                <w:lang w:val="en-US"/>
              </w:rPr>
              <w:t>HCM</w:t>
            </w:r>
            <w:r w:rsidRPr="00B544B7">
              <w:t xml:space="preserve"> (лицензионный договор №</w:t>
            </w:r>
            <w:r w:rsidR="0012091A">
              <w:t>16/ДЕ от 01</w:t>
            </w:r>
            <w:r w:rsidRPr="00B544B7">
              <w:t>.0</w:t>
            </w:r>
            <w:r w:rsidR="0012091A">
              <w:t>3</w:t>
            </w:r>
            <w:r w:rsidRPr="00B544B7">
              <w:t>.202</w:t>
            </w:r>
            <w:r w:rsidR="0012091A">
              <w:t>4</w:t>
            </w:r>
            <w:r w:rsidRPr="00B544B7">
              <w:t>)</w:t>
            </w:r>
          </w:p>
          <w:p w:rsidR="00EA08CB" w:rsidRPr="00FC1006" w:rsidRDefault="00EA08CB" w:rsidP="004E5C33">
            <w:pPr>
              <w:contextualSpacing/>
            </w:pPr>
            <w:r>
              <w:t>У</w:t>
            </w:r>
            <w:r w:rsidRPr="006C4004">
              <w:t>чебно-дрессировочная площадка</w:t>
            </w:r>
            <w:r>
              <w:t>.</w:t>
            </w:r>
          </w:p>
        </w:tc>
        <w:tc>
          <w:tcPr>
            <w:tcW w:w="4330" w:type="dxa"/>
            <w:vMerge w:val="restart"/>
          </w:tcPr>
          <w:p w:rsidR="00EA08CB" w:rsidRDefault="00EA08CB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EA08CB" w:rsidRPr="005026CE" w:rsidRDefault="00EA08CB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EA08CB" w:rsidRPr="00FC1006" w:rsidTr="00F803D9">
        <w:trPr>
          <w:trHeight w:val="297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Структура РКФ. Документация РКФ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477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shd w:val="clear" w:color="auto" w:fill="FFFFFF"/>
              <w:rPr>
                <w:rFonts w:ascii="ys text" w:hAnsi="ys text"/>
                <w:color w:val="000000"/>
                <w:szCs w:val="28"/>
              </w:rPr>
            </w:pPr>
            <w:r w:rsidRPr="00F803D9">
              <w:rPr>
                <w:rFonts w:ascii="ys text" w:hAnsi="ys text"/>
                <w:color w:val="000000"/>
                <w:szCs w:val="28"/>
              </w:rPr>
              <w:t>Зоопсихологические особенности. Социализация собаки.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365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Генетика собаки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271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Анатомия и физиология собаки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186F77">
        <w:trPr>
          <w:trHeight w:val="269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Общий экстерьер собаки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265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Болезни собак. Первая помощь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270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Разведение собак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161ACC">
        <w:trPr>
          <w:trHeight w:val="401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 xml:space="preserve">Поведение собак. Формы </w:t>
            </w:r>
            <w:proofErr w:type="spellStart"/>
            <w:r w:rsidRPr="00F803D9">
              <w:rPr>
                <w:szCs w:val="28"/>
              </w:rPr>
              <w:t>научения</w:t>
            </w:r>
            <w:proofErr w:type="spellEnd"/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161ACC">
        <w:trPr>
          <w:trHeight w:val="266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Дрессировка. Методы дрессировки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411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Применение собак в быту, спорте и службе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  <w:tr w:rsidR="00EA08CB" w:rsidRPr="00FC1006" w:rsidTr="00F803D9">
        <w:trPr>
          <w:trHeight w:val="277"/>
        </w:trPr>
        <w:tc>
          <w:tcPr>
            <w:tcW w:w="675" w:type="dxa"/>
          </w:tcPr>
          <w:p w:rsidR="00EA08CB" w:rsidRPr="00FC1006" w:rsidRDefault="00EA08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8CB" w:rsidRPr="00F803D9" w:rsidRDefault="00EA08CB" w:rsidP="002574DB">
            <w:pPr>
              <w:widowControl w:val="0"/>
              <w:autoSpaceDE w:val="0"/>
              <w:jc w:val="both"/>
              <w:rPr>
                <w:szCs w:val="28"/>
              </w:rPr>
            </w:pPr>
            <w:r w:rsidRPr="00F803D9">
              <w:rPr>
                <w:szCs w:val="28"/>
              </w:rPr>
              <w:t>Коррекция поведения</w:t>
            </w:r>
          </w:p>
        </w:tc>
        <w:tc>
          <w:tcPr>
            <w:tcW w:w="6379" w:type="dxa"/>
            <w:vMerge/>
          </w:tcPr>
          <w:p w:rsidR="00EA08CB" w:rsidRPr="00FC1006" w:rsidRDefault="00EA08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8CB" w:rsidRPr="005026CE" w:rsidRDefault="00EA08CB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2091A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5C141C"/>
    <w:rsid w:val="005C66E4"/>
    <w:rsid w:val="005E487F"/>
    <w:rsid w:val="00602432"/>
    <w:rsid w:val="00677C00"/>
    <w:rsid w:val="006B3AB0"/>
    <w:rsid w:val="006D5285"/>
    <w:rsid w:val="007165E3"/>
    <w:rsid w:val="0075205F"/>
    <w:rsid w:val="00754188"/>
    <w:rsid w:val="0076033B"/>
    <w:rsid w:val="00765766"/>
    <w:rsid w:val="007715D9"/>
    <w:rsid w:val="007E665A"/>
    <w:rsid w:val="0082083F"/>
    <w:rsid w:val="008F7BE1"/>
    <w:rsid w:val="0094134F"/>
    <w:rsid w:val="00996E75"/>
    <w:rsid w:val="00A97611"/>
    <w:rsid w:val="00AC56F4"/>
    <w:rsid w:val="00B20E5C"/>
    <w:rsid w:val="00C84551"/>
    <w:rsid w:val="00D10D6B"/>
    <w:rsid w:val="00DC25DD"/>
    <w:rsid w:val="00E434B9"/>
    <w:rsid w:val="00E5554F"/>
    <w:rsid w:val="00EA08CB"/>
    <w:rsid w:val="00EA6A0B"/>
    <w:rsid w:val="00EC53E0"/>
    <w:rsid w:val="00EC6F34"/>
    <w:rsid w:val="00F803D9"/>
    <w:rsid w:val="00FC1006"/>
    <w:rsid w:val="00FC3636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9</cp:revision>
  <dcterms:created xsi:type="dcterms:W3CDTF">2024-03-28T10:44:00Z</dcterms:created>
  <dcterms:modified xsi:type="dcterms:W3CDTF">2024-03-29T12:37:00Z</dcterms:modified>
</cp:coreProperties>
</file>